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bookmarkStart w:id="2" w:name="_GoBack"/>
      <w:r>
        <w:rPr>
          <w:rFonts w:hint="eastAsia"/>
          <w:b/>
          <w:bCs/>
          <w:sz w:val="28"/>
          <w:szCs w:val="28"/>
          <w:lang w:eastAsia="zh-CN"/>
        </w:rPr>
        <w:t>理工学院岗聘聘期考核系统数据核对操作指南</w:t>
      </w:r>
    </w:p>
    <w:bookmarkEnd w:id="2"/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（个人核对业绩）</w:t>
      </w:r>
    </w:p>
    <w:p/>
    <w:p/>
    <w:p>
      <w:pPr>
        <w:pStyle w:val="4"/>
        <w:spacing w:before="0" w:after="0"/>
        <w:rPr>
          <w:b/>
        </w:rPr>
      </w:pPr>
      <w:bookmarkStart w:id="0" w:name="_Toc13006"/>
      <w:r>
        <w:rPr>
          <w:rFonts w:hint="eastAsia"/>
          <w:b/>
        </w:rPr>
        <w:t>运行环境要求</w:t>
      </w:r>
      <w:bookmarkEnd w:id="0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41"/>
        <w:gridCol w:w="3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  <w:shd w:val="clear" w:color="auto" w:fill="BFBFBF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支持系统</w:t>
            </w:r>
          </w:p>
        </w:tc>
        <w:tc>
          <w:tcPr>
            <w:tcW w:w="3541" w:type="dxa"/>
            <w:shd w:val="clear" w:color="auto" w:fill="BFBFBF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版本要求</w:t>
            </w:r>
          </w:p>
        </w:tc>
        <w:tc>
          <w:tcPr>
            <w:tcW w:w="3509" w:type="dxa"/>
            <w:shd w:val="clear" w:color="auto" w:fill="BFBFBF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操作系统</w:t>
            </w:r>
          </w:p>
        </w:tc>
        <w:tc>
          <w:tcPr>
            <w:tcW w:w="354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t>W</w:t>
            </w:r>
            <w:r>
              <w:rPr>
                <w:rFonts w:hint="eastAsia"/>
              </w:rPr>
              <w:t>indows2</w:t>
            </w:r>
            <w:r>
              <w:t>008</w:t>
            </w:r>
            <w:r>
              <w:rPr>
                <w:rFonts w:hint="eastAsia"/>
              </w:rPr>
              <w:t>及</w:t>
            </w:r>
            <w:r>
              <w:t>以上；</w:t>
            </w:r>
          </w:p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或Linux</w:t>
            </w:r>
            <w:r>
              <w:t>5.0</w:t>
            </w:r>
            <w:r>
              <w:rPr>
                <w:rFonts w:hint="eastAsia"/>
              </w:rPr>
              <w:t>及</w:t>
            </w:r>
            <w:r>
              <w:t>以上</w:t>
            </w:r>
            <w:r>
              <w:rPr>
                <w:rFonts w:hint="eastAsia"/>
              </w:rPr>
              <w:t>。</w:t>
            </w:r>
          </w:p>
        </w:tc>
        <w:tc>
          <w:tcPr>
            <w:tcW w:w="3509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服务器</w:t>
            </w:r>
            <w:r>
              <w:t>操作系统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数据库</w:t>
            </w:r>
          </w:p>
        </w:tc>
        <w:tc>
          <w:tcPr>
            <w:tcW w:w="354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Oracle数据库10g及</w:t>
            </w:r>
            <w:r>
              <w:t>以上。</w:t>
            </w:r>
          </w:p>
        </w:tc>
        <w:tc>
          <w:tcPr>
            <w:tcW w:w="3509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为提高</w:t>
            </w:r>
            <w:r>
              <w:t>数据库服务性能，建议使用</w:t>
            </w:r>
            <w:r>
              <w:rPr>
                <w:rFonts w:hint="eastAsia"/>
              </w:rPr>
              <w:t>11g及</w:t>
            </w:r>
            <w:r>
              <w:t>以上</w:t>
            </w:r>
            <w:r>
              <w:rPr>
                <w:rFonts w:hint="eastAsia"/>
              </w:rPr>
              <w:t>版本。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目录服务器</w:t>
            </w:r>
          </w:p>
        </w:tc>
        <w:tc>
          <w:tcPr>
            <w:tcW w:w="354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t>Apache T</w:t>
            </w:r>
            <w:r>
              <w:rPr>
                <w:rFonts w:hint="eastAsia"/>
              </w:rPr>
              <w:t>omcat6</w:t>
            </w:r>
            <w:r>
              <w:t>.0</w:t>
            </w:r>
            <w:r>
              <w:rPr>
                <w:rFonts w:hint="eastAsia"/>
              </w:rPr>
              <w:t>。</w:t>
            </w:r>
          </w:p>
        </w:tc>
        <w:tc>
          <w:tcPr>
            <w:tcW w:w="3509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</w:pPr>
            <w:r>
              <w:rPr>
                <w:rFonts w:hint="eastAsia"/>
              </w:rPr>
              <w:t>将</w:t>
            </w:r>
            <w:r>
              <w:t>系统应用文件部署在</w:t>
            </w:r>
            <w:r>
              <w:rPr>
                <w:rFonts w:hint="eastAsia"/>
              </w:rPr>
              <w:t>tomcat应用。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JDK</w:t>
            </w:r>
          </w:p>
        </w:tc>
        <w:tc>
          <w:tcPr>
            <w:tcW w:w="3541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JDK1.7</w:t>
            </w:r>
          </w:p>
        </w:tc>
        <w:tc>
          <w:tcPr>
            <w:tcW w:w="3509" w:type="dxa"/>
            <w:noWrap w:val="0"/>
            <w:vAlign w:val="top"/>
          </w:tcPr>
          <w:p>
            <w:pPr>
              <w:pStyle w:val="3"/>
              <w:spacing w:before="72" w:after="72" w:line="360" w:lineRule="auto"/>
              <w:ind w:firstLine="0" w:firstLineChars="0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JDK1.</w:t>
            </w:r>
            <w:r>
              <w:rPr>
                <w:lang w:eastAsia="zh-CN"/>
              </w:rPr>
              <w:t>7</w:t>
            </w:r>
            <w:r>
              <w:rPr>
                <w:rFonts w:hint="eastAsia"/>
                <w:lang w:eastAsia="zh-CN"/>
              </w:rPr>
              <w:t>及</w:t>
            </w:r>
            <w:r>
              <w:rPr>
                <w:lang w:eastAsia="zh-CN"/>
              </w:rPr>
              <w:t>以上均可。</w:t>
            </w:r>
          </w:p>
        </w:tc>
      </w:tr>
    </w:tbl>
    <w:p>
      <w:pPr>
        <w:pStyle w:val="4"/>
        <w:spacing w:before="0" w:after="0"/>
        <w:rPr>
          <w:b/>
        </w:rPr>
      </w:pPr>
      <w:r>
        <w:rPr>
          <w:rFonts w:hint="eastAsia"/>
          <w:b/>
        </w:rPr>
        <w:t>系统访问地址</w:t>
      </w:r>
    </w:p>
    <w:p>
      <w:pPr>
        <w:pStyle w:val="3"/>
        <w:spacing w:before="72" w:after="72"/>
        <w:ind w:firstLine="420"/>
      </w:pPr>
      <w:r>
        <w:rPr>
          <w:rFonts w:hint="eastAsia"/>
          <w:lang w:eastAsia="zh-CN"/>
        </w:rPr>
        <w:t>使用</w:t>
      </w:r>
      <w:r>
        <w:rPr>
          <w:lang w:eastAsia="zh-CN"/>
        </w:rPr>
        <w:t>学校统一身份认证登录</w:t>
      </w:r>
      <w:r>
        <w:rPr>
          <w:rFonts w:hint="eastAsia"/>
          <w:lang w:eastAsia="zh-CN"/>
        </w:rPr>
        <w:t>，</w:t>
      </w:r>
      <w:r>
        <w:rPr>
          <w:lang w:eastAsia="zh-CN"/>
        </w:rPr>
        <w:t>选择</w:t>
      </w:r>
      <w:r>
        <w:rPr>
          <w:rFonts w:hint="eastAsia"/>
          <w:lang w:eastAsia="zh-CN"/>
        </w:rPr>
        <w:t>相应</w:t>
      </w:r>
      <w:r>
        <w:rPr>
          <w:lang w:eastAsia="zh-CN"/>
        </w:rPr>
        <w:t>角色：</w:t>
      </w:r>
      <w:r>
        <w:fldChar w:fldCharType="begin"/>
      </w:r>
      <w:r>
        <w:instrText xml:space="preserve"> HYPERLINK "https://gw.jnu.edu.cn/jnupost" </w:instrText>
      </w:r>
      <w:r>
        <w:fldChar w:fldCharType="separate"/>
      </w:r>
      <w:r>
        <w:rPr>
          <w:rStyle w:val="8"/>
        </w:rPr>
        <w:t>https://gw.jnu.edu.cn/jnupost</w:t>
      </w:r>
      <w:r>
        <w:fldChar w:fldCharType="end"/>
      </w:r>
    </w:p>
    <w:p>
      <w:pPr>
        <w:pStyle w:val="3"/>
        <w:spacing w:before="72" w:after="72"/>
        <w:ind w:firstLine="420"/>
      </w:pPr>
      <w:r>
        <w:rPr>
          <w:lang w:val="en-US" w:eastAsia="zh-CN" w:bidi="ar-SA"/>
        </w:rPr>
        <w:drawing>
          <wp:inline distT="0" distB="0" distL="114300" distR="114300">
            <wp:extent cx="5597525" cy="2905760"/>
            <wp:effectExtent l="0" t="0" r="3175" b="889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 w:line="360" w:lineRule="auto"/>
        <w:ind w:firstLine="0" w:firstLineChars="0"/>
        <w:rPr>
          <w:rFonts w:hint="eastAsia"/>
          <w:lang w:val="en-US" w:eastAsia="zh-CN" w:bidi="ar-SA"/>
        </w:rPr>
      </w:pPr>
    </w:p>
    <w:p>
      <w:pPr>
        <w:pStyle w:val="2"/>
        <w:widowControl w:val="0"/>
        <w:numPr>
          <w:ilvl w:val="0"/>
          <w:numId w:val="1"/>
        </w:numPr>
        <w:tabs>
          <w:tab w:val="left" w:pos="425"/>
        </w:tabs>
        <w:spacing w:before="0" w:after="0"/>
        <w:ind w:left="425" w:hanging="425"/>
        <w:jc w:val="both"/>
        <w:rPr>
          <w:rFonts w:hint="eastAsia" w:ascii="Times New Roman" w:hAnsi="Times New Roman" w:eastAsia="宋体"/>
          <w:b/>
          <w:bCs/>
          <w:sz w:val="44"/>
          <w:lang w:bidi="ar-SA"/>
        </w:rPr>
      </w:pPr>
      <w:bookmarkStart w:id="1" w:name="_Toc4653"/>
      <w:r>
        <w:rPr>
          <w:rFonts w:hint="eastAsia" w:ascii="Times New Roman" w:hAnsi="Times New Roman" w:eastAsia="宋体"/>
          <w:b/>
          <w:bCs/>
          <w:sz w:val="44"/>
          <w:lang w:bidi="ar-SA"/>
        </w:rPr>
        <w:t>申报人</w:t>
      </w:r>
      <w:bookmarkEnd w:id="1"/>
      <w:r>
        <w:rPr>
          <w:rFonts w:hint="eastAsia" w:ascii="Times New Roman" w:hAnsi="Times New Roman" w:eastAsia="宋体"/>
          <w:b/>
          <w:bCs/>
          <w:sz w:val="44"/>
          <w:lang w:bidi="ar-SA"/>
        </w:rPr>
        <w:t>角色</w:t>
      </w:r>
    </w:p>
    <w:p>
      <w:pPr>
        <w:pStyle w:val="4"/>
        <w:rPr>
          <w:rFonts w:hint="eastAsia"/>
        </w:rPr>
      </w:pPr>
      <w:r>
        <w:rPr>
          <w:rFonts w:hint="eastAsia"/>
        </w:rPr>
        <w:t>核对</w:t>
      </w:r>
      <w:r>
        <w:t>补充业绩</w:t>
      </w:r>
    </w:p>
    <w:p>
      <w:pPr>
        <w:pStyle w:val="3"/>
        <w:spacing w:before="72" w:after="72"/>
        <w:ind w:firstLine="0" w:firstLineChars="0"/>
        <w:rPr>
          <w:rFonts w:hint="eastAsia"/>
        </w:rPr>
      </w:pPr>
      <w:r>
        <w:rPr>
          <w:rFonts w:hint="eastAsia" w:ascii="黑体" w:hAnsi="黑体"/>
          <w:bCs w:val="0"/>
          <w:sz w:val="24"/>
          <w:lang w:val="en-US" w:eastAsia="zh-CN"/>
        </w:rPr>
        <w:t>选择业务流程，选择需要申请的岗位，选择核对</w:t>
      </w:r>
      <w:r>
        <w:rPr>
          <w:rFonts w:ascii="黑体" w:hAnsi="黑体"/>
          <w:bCs w:val="0"/>
          <w:sz w:val="24"/>
          <w:lang w:val="en-US" w:eastAsia="zh-CN"/>
        </w:rPr>
        <w:t>补充业绩</w:t>
      </w:r>
      <w:r>
        <w:rPr>
          <w:rFonts w:hint="eastAsia" w:ascii="黑体" w:hAnsi="黑体"/>
          <w:bCs w:val="0"/>
          <w:sz w:val="24"/>
          <w:lang w:val="en-US" w:eastAsia="zh-CN"/>
        </w:rPr>
        <w:t>数据。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600700" cy="2755265"/>
            <wp:effectExtent l="0" t="0" r="0" b="698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黑体" w:hAnsi="黑体"/>
          <w:bCs/>
          <w:sz w:val="24"/>
          <w:szCs w:val="24"/>
        </w:rPr>
      </w:pPr>
      <w:r>
        <w:rPr>
          <w:rFonts w:hint="eastAsia" w:ascii="黑体" w:hAnsi="黑体"/>
          <w:bCs/>
          <w:sz w:val="24"/>
          <w:szCs w:val="24"/>
          <w:lang w:val="en-US" w:eastAsia="zh-CN"/>
        </w:rPr>
        <w:t>请认真</w:t>
      </w:r>
      <w:r>
        <w:rPr>
          <w:rFonts w:ascii="黑体" w:hAnsi="黑体"/>
          <w:bCs/>
          <w:sz w:val="24"/>
          <w:szCs w:val="24"/>
          <w:lang w:val="en-US" w:eastAsia="zh-CN"/>
        </w:rPr>
        <w:t>阅读填写说明及岗聘</w:t>
      </w:r>
      <w:r>
        <w:rPr>
          <w:rFonts w:hint="eastAsia" w:ascii="黑体" w:hAnsi="黑体"/>
          <w:bCs/>
          <w:sz w:val="24"/>
          <w:szCs w:val="24"/>
          <w:lang w:val="en-US" w:eastAsia="zh-CN"/>
        </w:rPr>
        <w:t>要求。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rFonts w:hint="eastAsia"/>
        </w:rPr>
        <w:t>主要</w:t>
      </w:r>
      <w:r>
        <w:t>业绩数据</w:t>
      </w:r>
      <w:r>
        <w:rPr>
          <w:rFonts w:hint="eastAsia"/>
        </w:rPr>
        <w:t>由</w:t>
      </w:r>
      <w:r>
        <w:t>系统通过接口自动同步网络</w:t>
      </w:r>
      <w:r>
        <w:rPr>
          <w:rFonts w:hint="eastAsia"/>
        </w:rPr>
        <w:t>中心</w:t>
      </w:r>
      <w:r>
        <w:t>数据，申报人可进行查看和确认，如有问题需要联系对应数据来源单位进行源头修改。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599430" cy="1860550"/>
            <wp:effectExtent l="0" t="0" r="1270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黑体" w:hAnsi="黑体"/>
          <w:bCs/>
          <w:sz w:val="24"/>
          <w:szCs w:val="24"/>
        </w:rPr>
      </w:pPr>
      <w:r>
        <w:rPr>
          <w:rFonts w:hint="eastAsia" w:ascii="黑体" w:hAnsi="黑体"/>
          <w:bCs/>
          <w:sz w:val="24"/>
          <w:szCs w:val="24"/>
          <w:lang w:val="en-US" w:eastAsia="zh-CN"/>
        </w:rPr>
        <w:t>每</w:t>
      </w:r>
      <w:r>
        <w:rPr>
          <w:rFonts w:ascii="黑体" w:hAnsi="黑体"/>
          <w:bCs/>
          <w:sz w:val="24"/>
          <w:szCs w:val="24"/>
          <w:lang w:val="en-US" w:eastAsia="zh-CN"/>
        </w:rPr>
        <w:t>一项业绩列表均有业绩说明</w:t>
      </w:r>
      <w:r>
        <w:rPr>
          <w:rFonts w:hint="eastAsia" w:ascii="黑体" w:hAnsi="黑体"/>
          <w:bCs/>
          <w:sz w:val="24"/>
          <w:szCs w:val="24"/>
          <w:lang w:val="en-US" w:eastAsia="zh-CN"/>
        </w:rPr>
        <w:t>，</w:t>
      </w:r>
      <w:r>
        <w:rPr>
          <w:rFonts w:ascii="黑体" w:hAnsi="黑体"/>
          <w:bCs/>
          <w:sz w:val="24"/>
          <w:szCs w:val="24"/>
          <w:lang w:val="en-US" w:eastAsia="zh-CN"/>
        </w:rPr>
        <w:t>请认真阅读并了解数据获取</w:t>
      </w:r>
      <w:r>
        <w:rPr>
          <w:rFonts w:hint="eastAsia" w:ascii="黑体" w:hAnsi="黑体"/>
          <w:bCs/>
          <w:sz w:val="24"/>
          <w:szCs w:val="24"/>
          <w:lang w:val="en-US" w:eastAsia="zh-CN"/>
        </w:rPr>
        <w:t>规则。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596890" cy="2544445"/>
            <wp:effectExtent l="0" t="0" r="3810" b="825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</w:p>
    <w:p>
      <w:pPr>
        <w:pStyle w:val="5"/>
        <w:rPr>
          <w:rFonts w:ascii="黑体" w:hAnsi="黑体"/>
          <w:bCs/>
          <w:sz w:val="24"/>
          <w:szCs w:val="24"/>
        </w:rPr>
      </w:pPr>
      <w:r>
        <w:rPr>
          <w:rFonts w:hint="eastAsia" w:ascii="黑体" w:hAnsi="黑体"/>
          <w:bCs/>
          <w:sz w:val="24"/>
          <w:szCs w:val="24"/>
          <w:lang w:val="en-US" w:eastAsia="zh-CN"/>
        </w:rPr>
        <w:t>提交</w:t>
      </w:r>
      <w:r>
        <w:rPr>
          <w:rFonts w:ascii="黑体" w:hAnsi="黑体"/>
          <w:bCs/>
          <w:sz w:val="24"/>
          <w:szCs w:val="24"/>
          <w:lang w:val="en-US" w:eastAsia="zh-CN"/>
        </w:rPr>
        <w:t>业绩</w:t>
      </w:r>
    </w:p>
    <w:p>
      <w:pPr>
        <w:pStyle w:val="3"/>
        <w:spacing w:before="72" w:after="72"/>
        <w:ind w:firstLine="0" w:firstLineChars="0"/>
        <w:rPr>
          <w:rFonts w:hint="eastAsia"/>
          <w:lang w:val="en-US" w:eastAsia="zh-CN" w:bidi="ar-SA"/>
        </w:rPr>
      </w:pPr>
      <w:r>
        <w:rPr>
          <w:rFonts w:hint="eastAsia"/>
          <w:lang w:val="en-US" w:eastAsia="zh-CN" w:bidi="ar-SA"/>
        </w:rPr>
        <w:t>各项</w:t>
      </w:r>
      <w:r>
        <w:rPr>
          <w:lang w:val="en-US" w:eastAsia="zh-CN" w:bidi="ar-SA"/>
        </w:rPr>
        <w:t>业绩确认无误并补充后在提交页面点击提交</w:t>
      </w:r>
      <w:r>
        <w:rPr>
          <w:rFonts w:hint="eastAsia"/>
          <w:lang w:val="en-US" w:eastAsia="zh-CN" w:bidi="ar-SA"/>
        </w:rPr>
        <w:t>，</w:t>
      </w:r>
      <w:r>
        <w:rPr>
          <w:lang w:val="en-US" w:eastAsia="zh-CN" w:bidi="ar-SA"/>
        </w:rPr>
        <w:t>提交后进入学院业绩审核阶段。若</w:t>
      </w:r>
      <w:r>
        <w:rPr>
          <w:rFonts w:hint="eastAsia"/>
          <w:lang w:val="en-US" w:eastAsia="zh-CN" w:bidi="ar-SA"/>
        </w:rPr>
        <w:t>出现【请</w:t>
      </w:r>
      <w:r>
        <w:rPr>
          <w:lang w:val="en-US" w:eastAsia="zh-CN" w:bidi="ar-SA"/>
        </w:rPr>
        <w:t>保存基本</w:t>
      </w:r>
      <w:r>
        <w:rPr>
          <w:rFonts w:hint="eastAsia"/>
          <w:lang w:val="en-US" w:eastAsia="zh-CN" w:bidi="ar-SA"/>
        </w:rPr>
        <w:t>信息</w:t>
      </w:r>
      <w:r>
        <w:rPr>
          <w:lang w:val="en-US" w:eastAsia="zh-CN" w:bidi="ar-SA"/>
        </w:rPr>
        <w:t>在提交</w:t>
      </w:r>
      <w:r>
        <w:rPr>
          <w:rFonts w:hint="eastAsia"/>
          <w:lang w:val="en-US" w:eastAsia="zh-CN" w:bidi="ar-SA"/>
        </w:rPr>
        <w:t>】，</w:t>
      </w:r>
      <w:r>
        <w:rPr>
          <w:lang w:val="en-US" w:eastAsia="zh-CN" w:bidi="ar-SA"/>
        </w:rPr>
        <w:t>请先切换到基本信息</w:t>
      </w:r>
      <w:r>
        <w:rPr>
          <w:rFonts w:hint="eastAsia"/>
          <w:lang w:val="en-US" w:eastAsia="zh-CN" w:bidi="ar-SA"/>
        </w:rPr>
        <w:t>点击</w:t>
      </w:r>
      <w:r>
        <w:rPr>
          <w:lang w:val="en-US" w:eastAsia="zh-CN" w:bidi="ar-SA"/>
        </w:rPr>
        <w:t>【保存】</w:t>
      </w:r>
      <w:r>
        <w:rPr>
          <w:rFonts w:hint="eastAsia"/>
          <w:lang w:val="en-US" w:eastAsia="zh-CN" w:bidi="ar-SA"/>
        </w:rPr>
        <w:t>按钮</w:t>
      </w:r>
      <w:r>
        <w:rPr>
          <w:lang w:val="en-US" w:eastAsia="zh-CN" w:bidi="ar-SA"/>
        </w:rPr>
        <w:t>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600700" cy="3008630"/>
            <wp:effectExtent l="0" t="0" r="0" b="127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607685" cy="2943225"/>
            <wp:effectExtent l="0" t="0" r="12065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业绩</w:t>
      </w:r>
      <w:r>
        <w:t>匹配及提交</w:t>
      </w:r>
    </w:p>
    <w:p>
      <w:pPr>
        <w:pStyle w:val="3"/>
        <w:spacing w:before="72" w:after="72"/>
        <w:ind w:firstLine="0" w:firstLineChars="0"/>
        <w:rPr>
          <w:rFonts w:hint="eastAsia"/>
          <w:lang w:val="en-US" w:eastAsia="zh-CN" w:bidi="ar-SA"/>
        </w:rPr>
      </w:pPr>
      <w:r>
        <w:rPr>
          <w:rFonts w:hint="eastAsia"/>
          <w:lang w:val="en-US" w:eastAsia="zh-CN" w:bidi="ar-SA"/>
        </w:rPr>
        <w:t>学院</w:t>
      </w:r>
      <w:r>
        <w:rPr>
          <w:lang w:val="en-US" w:eastAsia="zh-CN" w:bidi="ar-SA"/>
        </w:rPr>
        <w:t>业绩审核通过后</w:t>
      </w:r>
      <w:r>
        <w:rPr>
          <w:rFonts w:hint="eastAsia"/>
          <w:lang w:val="en-US" w:eastAsia="zh-CN" w:bidi="ar-SA"/>
        </w:rPr>
        <w:t>进入</w:t>
      </w:r>
      <w:r>
        <w:rPr>
          <w:lang w:val="en-US" w:eastAsia="zh-CN" w:bidi="ar-SA"/>
        </w:rPr>
        <w:t>个人业绩匹配阶段</w:t>
      </w:r>
      <w:r>
        <w:rPr>
          <w:rFonts w:hint="eastAsia"/>
          <w:lang w:val="en-US" w:eastAsia="zh-CN" w:bidi="ar-SA"/>
        </w:rPr>
        <w:t>，选择</w:t>
      </w:r>
      <w:r>
        <w:rPr>
          <w:lang w:val="en-US" w:eastAsia="zh-CN" w:bidi="ar-SA"/>
        </w:rPr>
        <w:t>业务流程，</w:t>
      </w:r>
      <w:r>
        <w:rPr>
          <w:rFonts w:hint="eastAsia"/>
          <w:lang w:val="en-US" w:eastAsia="zh-CN" w:bidi="ar-SA"/>
        </w:rPr>
        <w:t>点击</w:t>
      </w:r>
      <w:r>
        <w:rPr>
          <w:lang w:val="en-US" w:eastAsia="zh-CN" w:bidi="ar-SA"/>
        </w:rPr>
        <w:t>匹配业绩</w:t>
      </w:r>
      <w:r>
        <w:rPr>
          <w:rFonts w:hint="eastAsia"/>
          <w:lang w:val="en-US" w:eastAsia="zh-CN" w:bidi="ar-SA"/>
        </w:rPr>
        <w:t>任务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599430" cy="2770505"/>
            <wp:effectExtent l="0" t="0" r="1270" b="1079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/>
        <w:ind w:firstLine="0" w:firstLineChars="0"/>
        <w:rPr>
          <w:rFonts w:hint="eastAsia"/>
          <w:lang w:val="en-US" w:eastAsia="zh-CN" w:bidi="ar-SA"/>
        </w:rPr>
      </w:pPr>
      <w:r>
        <w:rPr>
          <w:rFonts w:hint="eastAsia"/>
          <w:lang w:val="en-US" w:eastAsia="zh-CN" w:bidi="ar-SA"/>
        </w:rPr>
        <w:t>进入</w:t>
      </w:r>
      <w:r>
        <w:rPr>
          <w:lang w:val="en-US" w:eastAsia="zh-CN" w:bidi="ar-SA"/>
        </w:rPr>
        <w:t>业绩匹配页面，</w:t>
      </w:r>
      <w:r>
        <w:rPr>
          <w:rFonts w:hint="eastAsia"/>
          <w:lang w:val="en-US" w:eastAsia="zh-CN" w:bidi="ar-SA"/>
        </w:rPr>
        <w:t>系统</w:t>
      </w:r>
      <w:r>
        <w:rPr>
          <w:lang w:val="en-US" w:eastAsia="zh-CN" w:bidi="ar-SA"/>
        </w:rPr>
        <w:t>自动获取</w:t>
      </w:r>
      <w:r>
        <w:rPr>
          <w:rFonts w:hint="eastAsia"/>
          <w:lang w:val="en-US" w:eastAsia="zh-CN" w:bidi="ar-SA"/>
        </w:rPr>
        <w:t>申报人员</w:t>
      </w:r>
      <w:r>
        <w:rPr>
          <w:lang w:val="en-US" w:eastAsia="zh-CN" w:bidi="ar-SA"/>
        </w:rPr>
        <w:t>的合同任务内容并按条展示，</w:t>
      </w:r>
      <w:r>
        <w:rPr>
          <w:rFonts w:hint="eastAsia"/>
          <w:lang w:val="en-US" w:eastAsia="zh-CN" w:bidi="ar-SA"/>
        </w:rPr>
        <w:t>申报人员</w:t>
      </w:r>
      <w:r>
        <w:rPr>
          <w:lang w:val="en-US" w:eastAsia="zh-CN" w:bidi="ar-SA"/>
        </w:rPr>
        <w:t>点击【</w:t>
      </w:r>
      <w:r>
        <w:rPr>
          <w:rFonts w:hint="eastAsia"/>
          <w:lang w:val="en-US" w:eastAsia="zh-CN" w:bidi="ar-SA"/>
        </w:rPr>
        <w:t>关联</w:t>
      </w:r>
      <w:r>
        <w:rPr>
          <w:lang w:val="en-US" w:eastAsia="zh-CN" w:bidi="ar-SA"/>
        </w:rPr>
        <w:t>业绩】</w:t>
      </w:r>
      <w:r>
        <w:rPr>
          <w:rFonts w:hint="eastAsia"/>
          <w:lang w:val="en-US" w:eastAsia="zh-CN" w:bidi="ar-SA"/>
        </w:rPr>
        <w:t>选择完成</w:t>
      </w:r>
      <w:r>
        <w:rPr>
          <w:lang w:val="en-US" w:eastAsia="zh-CN" w:bidi="ar-SA"/>
        </w:rPr>
        <w:t>该合同任务</w:t>
      </w:r>
      <w:r>
        <w:rPr>
          <w:rFonts w:hint="eastAsia"/>
          <w:lang w:val="en-US" w:eastAsia="zh-CN" w:bidi="ar-SA"/>
        </w:rPr>
        <w:t>的</w:t>
      </w:r>
      <w:r>
        <w:rPr>
          <w:lang w:val="en-US" w:eastAsia="zh-CN" w:bidi="ar-SA"/>
        </w:rPr>
        <w:t>业绩数据（</w:t>
      </w:r>
      <w:r>
        <w:rPr>
          <w:rFonts w:hint="eastAsia"/>
          <w:lang w:val="en-US" w:eastAsia="zh-CN" w:bidi="ar-SA"/>
        </w:rPr>
        <w:t>前面</w:t>
      </w:r>
      <w:r>
        <w:rPr>
          <w:lang w:val="en-US" w:eastAsia="zh-CN" w:bidi="ar-SA"/>
        </w:rPr>
        <w:t>审核通过的业绩可进行审核，业绩数据不可重复使用）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594985" cy="2465705"/>
            <wp:effectExtent l="0" t="0" r="571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607050" cy="2600325"/>
            <wp:effectExtent l="0" t="0" r="12700" b="9525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2" w:after="72"/>
        <w:ind w:firstLine="0" w:firstLineChars="0"/>
        <w:rPr>
          <w:rFonts w:hint="eastAsia"/>
          <w:lang w:val="en-US" w:eastAsia="zh-CN" w:bidi="ar-SA"/>
        </w:rPr>
      </w:pPr>
      <w:r>
        <w:rPr>
          <w:rFonts w:hint="eastAsia"/>
          <w:lang w:val="en-US" w:eastAsia="zh-CN" w:bidi="ar-SA"/>
        </w:rPr>
        <w:t>完成</w:t>
      </w:r>
      <w:r>
        <w:rPr>
          <w:lang w:val="en-US" w:eastAsia="zh-CN" w:bidi="ar-SA"/>
        </w:rPr>
        <w:t>任务的匹配后点击【</w:t>
      </w:r>
      <w:r>
        <w:rPr>
          <w:rFonts w:hint="eastAsia"/>
          <w:lang w:val="en-US" w:eastAsia="zh-CN" w:bidi="ar-SA"/>
        </w:rPr>
        <w:t>提交</w:t>
      </w:r>
      <w:r>
        <w:rPr>
          <w:lang w:val="en-US" w:eastAsia="zh-CN" w:bidi="ar-SA"/>
        </w:rPr>
        <w:t>】</w:t>
      </w:r>
      <w:r>
        <w:rPr>
          <w:rFonts w:hint="eastAsia"/>
          <w:lang w:val="en-US" w:eastAsia="zh-CN" w:bidi="ar-SA"/>
        </w:rPr>
        <w:t>按钮</w:t>
      </w:r>
      <w:r>
        <w:rPr>
          <w:lang w:val="en-US" w:eastAsia="zh-CN" w:bidi="ar-SA"/>
        </w:rPr>
        <w:t>提交给学院进行业绩</w:t>
      </w:r>
      <w:r>
        <w:rPr>
          <w:rFonts w:hint="eastAsia"/>
          <w:lang w:val="en-US" w:eastAsia="zh-CN" w:bidi="ar-SA"/>
        </w:rPr>
        <w:t>匹配</w:t>
      </w:r>
      <w:r>
        <w:rPr>
          <w:lang w:val="en-US" w:eastAsia="zh-CN" w:bidi="ar-SA"/>
        </w:rPr>
        <w:t>审核。</w:t>
      </w:r>
    </w:p>
    <w:p>
      <w:pPr>
        <w:pStyle w:val="3"/>
        <w:spacing w:before="72" w:after="72"/>
        <w:ind w:firstLine="0" w:firstLineChars="0"/>
        <w:rPr>
          <w:lang w:val="en-US" w:eastAsia="zh-CN" w:bidi="ar-SA"/>
        </w:rPr>
      </w:pPr>
      <w:r>
        <w:rPr>
          <w:lang w:val="en-US" w:eastAsia="zh-CN" w:bidi="ar-SA"/>
        </w:rPr>
        <w:drawing>
          <wp:inline distT="0" distB="0" distL="114300" distR="114300">
            <wp:extent cx="5598795" cy="2575560"/>
            <wp:effectExtent l="0" t="0" r="1905" b="1524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重新</w:t>
      </w:r>
      <w:r>
        <w:t>修改业绩</w:t>
      </w:r>
    </w:p>
    <w:p>
      <w:pPr>
        <w:pStyle w:val="3"/>
        <w:spacing w:before="72" w:after="72"/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如果</w:t>
      </w:r>
      <w:r>
        <w:t>业绩需要修改可以进入核对补充业绩数据提交页面点击【</w:t>
      </w:r>
      <w:r>
        <w:rPr>
          <w:rFonts w:hint="eastAsia"/>
        </w:rPr>
        <w:t>重新</w:t>
      </w:r>
      <w:r>
        <w:t>修改</w:t>
      </w:r>
      <w:r>
        <w:rPr>
          <w:rFonts w:hint="eastAsia"/>
        </w:rPr>
        <w:t>业绩</w:t>
      </w:r>
      <w:r>
        <w:t>】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，</w:t>
      </w:r>
      <w:r>
        <w:rPr>
          <w:lang w:eastAsia="zh-CN"/>
        </w:rPr>
        <w:t>确认后业务流程返回到</w:t>
      </w:r>
      <w:r>
        <w:rPr>
          <w:rFonts w:hint="eastAsia"/>
          <w:lang w:eastAsia="zh-CN"/>
        </w:rPr>
        <w:t>核对</w:t>
      </w:r>
      <w:r>
        <w:rPr>
          <w:lang w:eastAsia="zh-CN"/>
        </w:rPr>
        <w:t>补充业绩</w:t>
      </w:r>
      <w:r>
        <w:rPr>
          <w:rFonts w:hint="eastAsia"/>
          <w:lang w:eastAsia="zh-CN"/>
        </w:rPr>
        <w:t>阶段</w:t>
      </w:r>
      <w:r>
        <w:rPr>
          <w:lang w:eastAsia="zh-CN"/>
        </w:rPr>
        <w:t>。</w:t>
      </w:r>
    </w:p>
    <w:p>
      <w:pPr>
        <w:pStyle w:val="3"/>
        <w:spacing w:before="72" w:after="72"/>
        <w:ind w:firstLine="0" w:firstLineChars="0"/>
        <w:rPr>
          <w:rFonts w:hint="eastAsia"/>
          <w:lang w:eastAsia="zh-CN"/>
        </w:rPr>
      </w:pPr>
      <w:r>
        <w:rPr>
          <w:lang w:val="en-US" w:eastAsia="zh-CN" w:bidi="ar-SA"/>
        </w:rPr>
        <w:drawing>
          <wp:inline distT="0" distB="0" distL="114300" distR="114300">
            <wp:extent cx="5280025" cy="2519680"/>
            <wp:effectExtent l="0" t="0" r="15875" b="1397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63D20"/>
    <w:multiLevelType w:val="multilevel"/>
    <w:tmpl w:val="79463D20"/>
    <w:lvl w:ilvl="0" w:tentative="0">
      <w:start w:val="1"/>
      <w:numFmt w:val="decimal"/>
      <w:suff w:val="space"/>
      <w:lvlText w:val="%1、"/>
      <w:lvlJc w:val="left"/>
      <w:pPr>
        <w:ind w:left="0" w:firstLine="0"/>
      </w:pPr>
      <w:rPr>
        <w:rFonts w:hint="eastAsia" w:eastAsia="黑体"/>
        <w:sz w:val="44"/>
        <w:szCs w:val="44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宋体"/>
        <w:sz w:val="32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0" w:firstLine="0"/>
      </w:pPr>
      <w:rPr>
        <w:rFonts w:ascii="宋体" w:hAnsi="宋体" w:eastAsia="宋体"/>
        <w:b/>
        <w:sz w:val="32"/>
        <w:szCs w:val="32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284" w:firstLine="0"/>
      </w:pPr>
    </w:lvl>
    <w:lvl w:ilvl="4" w:tentative="0">
      <w:start w:val="0"/>
      <w:numFmt w:val="none"/>
      <w:lvlText w:val=""/>
      <w:lvlJc w:val="left"/>
      <w:pPr>
        <w:tabs>
          <w:tab w:val="left" w:pos="360"/>
        </w:tabs>
      </w:pPr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E9405D"/>
    <w:rsid w:val="55E940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widowControl/>
      <w:spacing w:before="800" w:beforeLines="0" w:after="600" w:afterLines="0" w:line="360" w:lineRule="auto"/>
      <w:jc w:val="left"/>
      <w:outlineLvl w:val="0"/>
    </w:pPr>
    <w:rPr>
      <w:rFonts w:ascii="Arial" w:hAnsi="Arial" w:eastAsia="黑体"/>
      <w:kern w:val="44"/>
      <w:sz w:val="36"/>
      <w:szCs w:val="44"/>
      <w:lang w:bidi="he-IL"/>
    </w:rPr>
  </w:style>
  <w:style w:type="paragraph" w:styleId="4">
    <w:name w:val="heading 2"/>
    <w:basedOn w:val="1"/>
    <w:next w:val="3"/>
    <w:qFormat/>
    <w:uiPriority w:val="0"/>
    <w:pPr>
      <w:keepNext/>
      <w:keepLines/>
      <w:widowControl/>
      <w:numPr>
        <w:ilvl w:val="1"/>
        <w:numId w:val="1"/>
      </w:numPr>
      <w:spacing w:before="600" w:after="400" w:line="360" w:lineRule="auto"/>
      <w:outlineLvl w:val="1"/>
    </w:pPr>
    <w:rPr>
      <w:rFonts w:ascii="Arial" w:hAnsi="Arial" w:eastAsia="黑体"/>
      <w:kern w:val="0"/>
      <w:sz w:val="32"/>
      <w:szCs w:val="32"/>
      <w:lang w:bidi="he-IL"/>
    </w:rPr>
  </w:style>
  <w:style w:type="paragraph" w:styleId="5">
    <w:name w:val="heading 3"/>
    <w:basedOn w:val="1"/>
    <w:next w:val="3"/>
    <w:qFormat/>
    <w:uiPriority w:val="0"/>
    <w:pPr>
      <w:keepNext/>
      <w:keepLines/>
      <w:widowControl/>
      <w:numPr>
        <w:ilvl w:val="2"/>
        <w:numId w:val="1"/>
      </w:numPr>
      <w:spacing w:before="400" w:after="200" w:line="360" w:lineRule="auto"/>
      <w:outlineLvl w:val="2"/>
    </w:pPr>
    <w:rPr>
      <w:rFonts w:ascii="Arial" w:hAnsi="Arial" w:eastAsia="黑体"/>
      <w:kern w:val="0"/>
      <w:sz w:val="28"/>
      <w:szCs w:val="32"/>
      <w:lang w:bidi="he-IL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iPriority w:val="0"/>
    <w:pPr>
      <w:spacing w:before="93" w:beforeLines="30" w:after="93" w:afterLines="30"/>
      <w:ind w:firstLine="200" w:firstLineChars="200"/>
    </w:pPr>
    <w:rPr>
      <w:bCs/>
      <w:kern w:val="0"/>
      <w:lang w:bidi="he-IL"/>
    </w:rPr>
  </w:style>
  <w:style w:type="character" w:styleId="8">
    <w:name w:val="Hyperlink"/>
    <w:uiPriority w:val="99"/>
    <w:rPr>
      <w:color w:val="0000FF"/>
      <w:sz w:val="2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2020-12-09T06:38:00Z</dcterms:created>
  <dc:creator>徐大猫</dc:creator>
  <cp:lastModifiedBy>徐大猫</cp:lastModifiedBy>
  <dcterms:modified xsi:type="dcterms:W3CDTF">2020-12-09T06:41:00Z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